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206н от 31 марта 2015 г.</w:t>
      </w:r>
    </w:p>
    <w:p>
      <w:pPr>
        <w:pStyle w:val="Heading2"/>
        <w:rPr/>
      </w:pPr>
      <w:r>
        <w:rPr/>
        <w:t>«Об утверждении инструктивно-методических указаний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доходы»</w:t>
      </w:r>
    </w:p>
    <w:p>
      <w:pPr>
        <w:pStyle w:val="TextBody"/>
        <w:rPr/>
      </w:pPr>
      <w:r>
        <w:rPr/>
        <w:t>В соответствии с подпунктом «в» пункта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 1670; № 23, ст. 2892; № 28, ст. 3813; № 49, ст. 6399; 2014, № 26, ст. 3520; № 30, ст. 4286; 2015, № 10, ст. 1506) и в целях обеспечения совершенствования деятельности по обращению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доходы, п р и к а з ы в а ю:</w:t>
      </w:r>
    </w:p>
    <w:p>
      <w:pPr>
        <w:pStyle w:val="TextBody"/>
        <w:rPr/>
      </w:pPr>
      <w:r>
        <w:rPr/>
        <w:t>Утвердить прилагаемые инструктивно-методические указания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